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2" w:rsidRPr="00FF0B8A" w:rsidRDefault="00FF0B8A" w:rsidP="00FF0B8A">
      <w:pPr>
        <w:rPr>
          <w:b/>
          <w:sz w:val="24"/>
          <w:szCs w:val="24"/>
        </w:rPr>
      </w:pPr>
      <w:r w:rsidRPr="00FF0B8A">
        <w:rPr>
          <w:b/>
          <w:sz w:val="24"/>
          <w:szCs w:val="24"/>
        </w:rPr>
        <w:t>Planejamento Semanal da Secretaria de Serviços (</w:t>
      </w:r>
      <w:r w:rsidR="001E7068">
        <w:rPr>
          <w:b/>
          <w:sz w:val="24"/>
          <w:szCs w:val="24"/>
        </w:rPr>
        <w:t>15 a 19</w:t>
      </w:r>
      <w:r w:rsidRPr="00FF0B8A">
        <w:rPr>
          <w:b/>
          <w:sz w:val="24"/>
          <w:szCs w:val="24"/>
        </w:rPr>
        <w:t xml:space="preserve"> de Fevereiro de 2021) – Prefeitura Municipal da Serra (ES)</w:t>
      </w:r>
    </w:p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2"/>
        <w:gridCol w:w="3260"/>
        <w:gridCol w:w="2977"/>
        <w:gridCol w:w="2748"/>
      </w:tblGrid>
      <w:tr w:rsidR="00FF0B8A" w:rsidTr="001E7068">
        <w:trPr>
          <w:trHeight w:val="557"/>
        </w:trPr>
        <w:tc>
          <w:tcPr>
            <w:tcW w:w="2235" w:type="dxa"/>
            <w:tcBorders>
              <w:top w:val="single" w:sz="4" w:space="0" w:color="auto"/>
            </w:tcBorders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Serviços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</w:tr>
      <w:tr w:rsidR="00D150E9" w:rsidTr="001E7068">
        <w:trPr>
          <w:trHeight w:val="1132"/>
        </w:trPr>
        <w:tc>
          <w:tcPr>
            <w:tcW w:w="2235" w:type="dxa"/>
          </w:tcPr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Recolhimento de Entulhos</w:t>
            </w:r>
          </w:p>
        </w:tc>
        <w:tc>
          <w:tcPr>
            <w:tcW w:w="1842" w:type="dxa"/>
            <w:noWrap/>
          </w:tcPr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Novo Porto Canoa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Mata da Serra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Maringá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Cascata</w:t>
            </w:r>
          </w:p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Divinópolis</w:t>
            </w:r>
          </w:p>
        </w:tc>
        <w:tc>
          <w:tcPr>
            <w:tcW w:w="2552" w:type="dxa"/>
          </w:tcPr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Parque Res. Tubarão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Planície da Serra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Serra Dourada (II e III)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Palmeira</w:t>
            </w:r>
            <w:r w:rsidR="00284623">
              <w:rPr>
                <w:rFonts w:cstheme="minorHAnsi"/>
                <w:sz w:val="20"/>
                <w:szCs w:val="20"/>
              </w:rPr>
              <w:t>s</w:t>
            </w:r>
          </w:p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Residencial Centro da Serra</w:t>
            </w:r>
          </w:p>
        </w:tc>
        <w:tc>
          <w:tcPr>
            <w:tcW w:w="3260" w:type="dxa"/>
          </w:tcPr>
          <w:p w:rsidR="00D150E9" w:rsidRDefault="00D150E9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Parque Res. Tubarão</w:t>
            </w:r>
          </w:p>
          <w:p w:rsidR="00D150E9" w:rsidRDefault="00D150E9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Planície da Serra</w:t>
            </w:r>
          </w:p>
          <w:p w:rsidR="00D150E9" w:rsidRDefault="00D150E9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Serra Dourada III</w:t>
            </w:r>
          </w:p>
          <w:p w:rsidR="00D150E9" w:rsidRPr="001D6599" w:rsidRDefault="00D150E9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Residencial Centro da Serra</w:t>
            </w:r>
          </w:p>
        </w:tc>
        <w:tc>
          <w:tcPr>
            <w:tcW w:w="2977" w:type="dxa"/>
          </w:tcPr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Serrada Dourada I e III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da Serra</w:t>
            </w:r>
          </w:p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Colina da Serra</w:t>
            </w:r>
          </w:p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Nossa Senhora da Conceição</w:t>
            </w:r>
          </w:p>
        </w:tc>
        <w:tc>
          <w:tcPr>
            <w:tcW w:w="2748" w:type="dxa"/>
          </w:tcPr>
          <w:p w:rsidR="00D150E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Serra Dourada I</w:t>
            </w:r>
          </w:p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Taquara I</w:t>
            </w:r>
          </w:p>
        </w:tc>
      </w:tr>
      <w:tr w:rsidR="00D150E9" w:rsidTr="001E7068">
        <w:trPr>
          <w:trHeight w:val="795"/>
        </w:trPr>
        <w:tc>
          <w:tcPr>
            <w:tcW w:w="2235" w:type="dxa"/>
          </w:tcPr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Capina e Limpeza de Bairros</w:t>
            </w:r>
          </w:p>
        </w:tc>
        <w:tc>
          <w:tcPr>
            <w:tcW w:w="1842" w:type="dxa"/>
          </w:tcPr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Limpeza de Praias</w:t>
            </w:r>
          </w:p>
        </w:tc>
        <w:tc>
          <w:tcPr>
            <w:tcW w:w="2552" w:type="dxa"/>
            <w:noWrap/>
          </w:tcPr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Limpeza de Praias</w:t>
            </w:r>
          </w:p>
        </w:tc>
        <w:tc>
          <w:tcPr>
            <w:tcW w:w="3260" w:type="dxa"/>
          </w:tcPr>
          <w:p w:rsidR="00D150E9" w:rsidRPr="001D6599" w:rsidRDefault="00284623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Tropical/</w:t>
            </w:r>
            <w:r w:rsidR="00D150E9" w:rsidRPr="001D6599">
              <w:rPr>
                <w:rFonts w:cstheme="minorHAnsi"/>
                <w:sz w:val="20"/>
                <w:szCs w:val="20"/>
              </w:rPr>
              <w:t>Cantinho do Céu</w:t>
            </w:r>
          </w:p>
          <w:p w:rsidR="00D150E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Cint</w:t>
            </w:r>
            <w:r>
              <w:rPr>
                <w:rFonts w:cstheme="minorHAnsi"/>
                <w:sz w:val="20"/>
                <w:szCs w:val="20"/>
              </w:rPr>
              <w:t xml:space="preserve">urão </w:t>
            </w:r>
            <w:r w:rsidRPr="001D6599">
              <w:rPr>
                <w:rFonts w:cstheme="minorHAnsi"/>
                <w:sz w:val="20"/>
                <w:szCs w:val="20"/>
              </w:rPr>
              <w:t>Verde - Cidade Continental</w:t>
            </w:r>
          </w:p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Novo Horizonte</w:t>
            </w:r>
          </w:p>
        </w:tc>
        <w:tc>
          <w:tcPr>
            <w:tcW w:w="2977" w:type="dxa"/>
          </w:tcPr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Tropical/</w:t>
            </w:r>
            <w:r w:rsidRPr="001D6599">
              <w:rPr>
                <w:rFonts w:cstheme="minorHAnsi"/>
                <w:sz w:val="20"/>
                <w:szCs w:val="20"/>
              </w:rPr>
              <w:t>Cantinho do Céu</w:t>
            </w:r>
          </w:p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Cinturão Verde – Cidade</w:t>
            </w:r>
          </w:p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Continental</w:t>
            </w:r>
          </w:p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Novo Horizonte</w:t>
            </w:r>
          </w:p>
        </w:tc>
        <w:tc>
          <w:tcPr>
            <w:tcW w:w="2748" w:type="dxa"/>
          </w:tcPr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Cinturão Verde – Cidade</w:t>
            </w:r>
          </w:p>
          <w:p w:rsidR="00D150E9" w:rsidRPr="001D6599" w:rsidRDefault="00D150E9" w:rsidP="00D150E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Continental</w:t>
            </w:r>
          </w:p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Taquara I</w:t>
            </w:r>
          </w:p>
        </w:tc>
      </w:tr>
      <w:tr w:rsidR="00D150E9" w:rsidTr="001E7068">
        <w:trPr>
          <w:trHeight w:val="1137"/>
        </w:trPr>
        <w:tc>
          <w:tcPr>
            <w:tcW w:w="2235" w:type="dxa"/>
          </w:tcPr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Escolas, CMEIS e Postos de Saúde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 w:rsidRPr="00EF6CDF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2" w:type="dxa"/>
          </w:tcPr>
          <w:p w:rsidR="00D150E9" w:rsidRPr="000940EB" w:rsidRDefault="000940EB" w:rsidP="008028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940EB">
              <w:rPr>
                <w:rFonts w:cstheme="minorHAnsi"/>
                <w:sz w:val="16"/>
                <w:szCs w:val="16"/>
              </w:rPr>
              <w:t>Continuidade da Programação da semana anterior (devido às chuvas)</w:t>
            </w:r>
          </w:p>
        </w:tc>
        <w:tc>
          <w:tcPr>
            <w:tcW w:w="2552" w:type="dxa"/>
            <w:noWrap/>
          </w:tcPr>
          <w:p w:rsidR="00D150E9" w:rsidRPr="000940EB" w:rsidRDefault="000940EB" w:rsidP="00616C0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940EB">
              <w:rPr>
                <w:rFonts w:cstheme="minorHAnsi"/>
                <w:sz w:val="16"/>
                <w:szCs w:val="16"/>
              </w:rPr>
              <w:t>Continuidade da Programação da semana anterior (devido às chuvas)</w:t>
            </w:r>
          </w:p>
        </w:tc>
        <w:tc>
          <w:tcPr>
            <w:tcW w:w="3260" w:type="dxa"/>
          </w:tcPr>
          <w:p w:rsidR="00D150E9" w:rsidRPr="00D150E9" w:rsidRDefault="00D150E9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D150E9">
              <w:rPr>
                <w:sz w:val="20"/>
                <w:szCs w:val="20"/>
              </w:rPr>
              <w:t>CMEI Alaíde Alvarenga</w:t>
            </w:r>
          </w:p>
          <w:p w:rsidR="00D150E9" w:rsidRPr="00D150E9" w:rsidRDefault="00D150E9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D150E9">
              <w:rPr>
                <w:sz w:val="20"/>
                <w:szCs w:val="20"/>
              </w:rPr>
              <w:t>EMEF Valeriana (Nova Almeida)</w:t>
            </w:r>
          </w:p>
        </w:tc>
        <w:tc>
          <w:tcPr>
            <w:tcW w:w="2977" w:type="dxa"/>
          </w:tcPr>
          <w:p w:rsidR="00D150E9" w:rsidRPr="00D150E9" w:rsidRDefault="00D150E9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D150E9">
              <w:rPr>
                <w:sz w:val="20"/>
                <w:szCs w:val="20"/>
              </w:rPr>
              <w:t>CMEI Orlando Miranda</w:t>
            </w:r>
          </w:p>
          <w:p w:rsidR="00D150E9" w:rsidRPr="00D150E9" w:rsidRDefault="00D150E9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D150E9">
              <w:rPr>
                <w:sz w:val="20"/>
                <w:szCs w:val="20"/>
              </w:rPr>
              <w:t>EMEF João Paulo II (Jardim Carapina)</w:t>
            </w:r>
          </w:p>
        </w:tc>
        <w:tc>
          <w:tcPr>
            <w:tcW w:w="2748" w:type="dxa"/>
          </w:tcPr>
          <w:p w:rsidR="00D150E9" w:rsidRPr="00D150E9" w:rsidRDefault="00D150E9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D150E9">
              <w:rPr>
                <w:sz w:val="20"/>
                <w:szCs w:val="20"/>
              </w:rPr>
              <w:t>Centro de Vivência (Serra Sede)</w:t>
            </w:r>
          </w:p>
          <w:p w:rsidR="00D150E9" w:rsidRPr="00D150E9" w:rsidRDefault="00D150E9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D150E9">
              <w:rPr>
                <w:sz w:val="20"/>
                <w:szCs w:val="20"/>
              </w:rPr>
              <w:t xml:space="preserve">EMEF Paulo Freire (Vista da Serra </w:t>
            </w:r>
            <w:proofErr w:type="gramStart"/>
            <w:r w:rsidRPr="00D150E9">
              <w:rPr>
                <w:sz w:val="20"/>
                <w:szCs w:val="20"/>
              </w:rPr>
              <w:t>2</w:t>
            </w:r>
            <w:proofErr w:type="gramEnd"/>
            <w:r w:rsidRPr="00D150E9">
              <w:rPr>
                <w:sz w:val="20"/>
                <w:szCs w:val="20"/>
              </w:rPr>
              <w:t>)</w:t>
            </w:r>
          </w:p>
        </w:tc>
      </w:tr>
      <w:tr w:rsidR="00D150E9" w:rsidTr="001E7068">
        <w:trPr>
          <w:trHeight w:val="760"/>
        </w:trPr>
        <w:tc>
          <w:tcPr>
            <w:tcW w:w="2235" w:type="dxa"/>
          </w:tcPr>
          <w:p w:rsidR="00D150E9" w:rsidRPr="001D6599" w:rsidRDefault="00D150E9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Limpeza de Praças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1842" w:type="dxa"/>
          </w:tcPr>
          <w:p w:rsidR="00D150E9" w:rsidRPr="000940EB" w:rsidRDefault="000940EB" w:rsidP="00AC72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940EB">
              <w:rPr>
                <w:rFonts w:cstheme="minorHAnsi"/>
                <w:sz w:val="16"/>
                <w:szCs w:val="16"/>
              </w:rPr>
              <w:t>Remanejamento da equipe para outros serviços emergenciais pós-chuvas</w:t>
            </w:r>
          </w:p>
        </w:tc>
        <w:tc>
          <w:tcPr>
            <w:tcW w:w="2552" w:type="dxa"/>
            <w:noWrap/>
          </w:tcPr>
          <w:p w:rsidR="00D150E9" w:rsidRPr="000940EB" w:rsidRDefault="000940EB" w:rsidP="008028F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940EB">
              <w:rPr>
                <w:rFonts w:cstheme="minorHAnsi"/>
                <w:sz w:val="16"/>
                <w:szCs w:val="16"/>
              </w:rPr>
              <w:t>Remanejamento da equipe para outros serviços emergenciais pós-chuvas</w:t>
            </w:r>
          </w:p>
        </w:tc>
        <w:tc>
          <w:tcPr>
            <w:tcW w:w="3260" w:type="dxa"/>
          </w:tcPr>
          <w:p w:rsidR="00AC7275" w:rsidRPr="00AC7275" w:rsidRDefault="00AC7275" w:rsidP="00AC72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7275">
              <w:rPr>
                <w:rFonts w:cstheme="minorHAnsi"/>
                <w:sz w:val="20"/>
                <w:szCs w:val="20"/>
              </w:rPr>
              <w:t xml:space="preserve">Praça Cidade Continental (Setor América) </w:t>
            </w:r>
          </w:p>
          <w:p w:rsidR="00AC7275" w:rsidRPr="00AC7275" w:rsidRDefault="00AC7275" w:rsidP="00AC72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7275">
              <w:rPr>
                <w:rFonts w:cstheme="minorHAnsi"/>
                <w:sz w:val="20"/>
                <w:szCs w:val="20"/>
              </w:rPr>
              <w:t>Praças de Jardim Carapina (03)</w:t>
            </w:r>
          </w:p>
          <w:p w:rsidR="00D150E9" w:rsidRPr="001D6599" w:rsidRDefault="00AC7275" w:rsidP="00AC72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7275">
              <w:rPr>
                <w:rFonts w:cstheme="minorHAnsi"/>
                <w:sz w:val="20"/>
                <w:szCs w:val="20"/>
              </w:rPr>
              <w:t>Praças de Boa Vista (02)</w:t>
            </w:r>
          </w:p>
        </w:tc>
        <w:tc>
          <w:tcPr>
            <w:tcW w:w="2977" w:type="dxa"/>
          </w:tcPr>
          <w:p w:rsidR="00D150E9" w:rsidRDefault="00D150E9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Praças Carapina Grande (02) </w:t>
            </w:r>
          </w:p>
          <w:p w:rsidR="00D150E9" w:rsidRPr="001D6599" w:rsidRDefault="00D150E9" w:rsidP="00E416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Central Carapina</w:t>
            </w:r>
          </w:p>
        </w:tc>
        <w:tc>
          <w:tcPr>
            <w:tcW w:w="2748" w:type="dxa"/>
          </w:tcPr>
          <w:p w:rsidR="00D150E9" w:rsidRDefault="00AC727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de Jardim Tropical</w:t>
            </w:r>
          </w:p>
          <w:p w:rsidR="00AC7275" w:rsidRPr="001D6599" w:rsidRDefault="00AC727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 José de Anchieta</w:t>
            </w:r>
          </w:p>
        </w:tc>
      </w:tr>
      <w:tr w:rsidR="00AC7275" w:rsidTr="001E7068">
        <w:trPr>
          <w:trHeight w:val="831"/>
        </w:trPr>
        <w:tc>
          <w:tcPr>
            <w:tcW w:w="2235" w:type="dxa"/>
          </w:tcPr>
          <w:p w:rsidR="00AC7275" w:rsidRPr="001D6599" w:rsidRDefault="00AC7275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Tapa-Buracos</w:t>
            </w:r>
          </w:p>
        </w:tc>
        <w:tc>
          <w:tcPr>
            <w:tcW w:w="1842" w:type="dxa"/>
          </w:tcPr>
          <w:p w:rsidR="00AC7275" w:rsidRPr="00AC7275" w:rsidRDefault="00AC7275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 xml:space="preserve">Mestre Álvaro </w:t>
            </w:r>
          </w:p>
          <w:p w:rsidR="00AC7275" w:rsidRPr="00AC7275" w:rsidRDefault="00AC7275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 xml:space="preserve">Maria </w:t>
            </w:r>
            <w:proofErr w:type="spellStart"/>
            <w:r w:rsidRPr="00AC7275">
              <w:rPr>
                <w:sz w:val="20"/>
                <w:szCs w:val="20"/>
              </w:rPr>
              <w:t>Niobe</w:t>
            </w:r>
            <w:proofErr w:type="spellEnd"/>
          </w:p>
          <w:p w:rsidR="00AC7275" w:rsidRPr="00AC7275" w:rsidRDefault="00AC7275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Vista da Serra</w:t>
            </w:r>
          </w:p>
          <w:p w:rsidR="00AC7275" w:rsidRPr="00AC7275" w:rsidRDefault="00AC7275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 xml:space="preserve">São Marcos I, II e </w:t>
            </w:r>
            <w:proofErr w:type="gramStart"/>
            <w:r w:rsidRPr="00AC7275">
              <w:rPr>
                <w:sz w:val="20"/>
                <w:szCs w:val="20"/>
              </w:rPr>
              <w:t>III</w:t>
            </w:r>
            <w:proofErr w:type="gramEnd"/>
          </w:p>
          <w:p w:rsidR="00AC7275" w:rsidRPr="00AC7275" w:rsidRDefault="00AC7275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São Judas Tadeu</w:t>
            </w:r>
          </w:p>
        </w:tc>
        <w:tc>
          <w:tcPr>
            <w:tcW w:w="2552" w:type="dxa"/>
          </w:tcPr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Bairro Barro Branco</w:t>
            </w:r>
          </w:p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 xml:space="preserve">Campinho da Serra I e II </w:t>
            </w:r>
          </w:p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Jardim da Serra</w:t>
            </w:r>
          </w:p>
          <w:p w:rsidR="00AC7275" w:rsidRPr="00AC7275" w:rsidRDefault="00AC7275" w:rsidP="00AC72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Colina da Serra</w:t>
            </w:r>
          </w:p>
        </w:tc>
        <w:tc>
          <w:tcPr>
            <w:tcW w:w="3260" w:type="dxa"/>
          </w:tcPr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C7275">
              <w:rPr>
                <w:sz w:val="20"/>
                <w:szCs w:val="20"/>
              </w:rPr>
              <w:t>Jardim Bela Vista</w:t>
            </w:r>
            <w:proofErr w:type="gramEnd"/>
          </w:p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Divinópolis</w:t>
            </w:r>
          </w:p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Jardim Guanabara</w:t>
            </w:r>
          </w:p>
          <w:p w:rsidR="00AC7275" w:rsidRPr="00AC7275" w:rsidRDefault="00AC727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 xml:space="preserve">Barcelona </w:t>
            </w:r>
          </w:p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 xml:space="preserve">André </w:t>
            </w:r>
            <w:proofErr w:type="spellStart"/>
            <w:r w:rsidRPr="00AC7275">
              <w:rPr>
                <w:sz w:val="20"/>
                <w:szCs w:val="20"/>
              </w:rPr>
              <w:t>Carloni</w:t>
            </w:r>
            <w:proofErr w:type="spellEnd"/>
          </w:p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Central Carapina</w:t>
            </w:r>
          </w:p>
          <w:p w:rsidR="00AC7275" w:rsidRPr="00AC7275" w:rsidRDefault="00AC7275" w:rsidP="00AC72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Carapina Grande</w:t>
            </w:r>
          </w:p>
        </w:tc>
        <w:tc>
          <w:tcPr>
            <w:tcW w:w="2748" w:type="dxa"/>
          </w:tcPr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 xml:space="preserve">Grande </w:t>
            </w:r>
            <w:proofErr w:type="spellStart"/>
            <w:r w:rsidRPr="00AC7275">
              <w:rPr>
                <w:sz w:val="20"/>
                <w:szCs w:val="20"/>
              </w:rPr>
              <w:t>Jacaraípe</w:t>
            </w:r>
            <w:proofErr w:type="spellEnd"/>
          </w:p>
          <w:p w:rsidR="00AC7275" w:rsidRPr="00AC7275" w:rsidRDefault="00AC7275" w:rsidP="00AC7275">
            <w:pPr>
              <w:spacing w:after="0" w:line="240" w:lineRule="auto"/>
              <w:rPr>
                <w:sz w:val="20"/>
                <w:szCs w:val="20"/>
              </w:rPr>
            </w:pPr>
            <w:r w:rsidRPr="00AC7275">
              <w:rPr>
                <w:sz w:val="20"/>
                <w:szCs w:val="20"/>
              </w:rPr>
              <w:t>Grande Nova Almeida</w:t>
            </w:r>
          </w:p>
          <w:p w:rsidR="00AC7275" w:rsidRPr="00AC7275" w:rsidRDefault="00AC7275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4A0F" w:rsidTr="001E7068">
        <w:trPr>
          <w:trHeight w:val="631"/>
        </w:trPr>
        <w:tc>
          <w:tcPr>
            <w:tcW w:w="2235" w:type="dxa"/>
          </w:tcPr>
          <w:p w:rsidR="002F4A0F" w:rsidRPr="001D6599" w:rsidRDefault="002F4A0F" w:rsidP="008028F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Manutenção da Rede Pluvial (Chupão)</w:t>
            </w:r>
          </w:p>
        </w:tc>
        <w:tc>
          <w:tcPr>
            <w:tcW w:w="1842" w:type="dxa"/>
          </w:tcPr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Carapina Grande</w:t>
            </w:r>
          </w:p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Jardim Carapina</w:t>
            </w:r>
          </w:p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F4A0F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  <w:p w:rsidR="002F4A0F" w:rsidRPr="001D6599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A0F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  <w:p w:rsidR="002F4A0F" w:rsidRPr="001D6599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Grande Nova Almeida</w:t>
            </w:r>
          </w:p>
        </w:tc>
        <w:tc>
          <w:tcPr>
            <w:tcW w:w="2977" w:type="dxa"/>
          </w:tcPr>
          <w:p w:rsidR="002F4A0F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Colina da Serra</w:t>
            </w:r>
          </w:p>
          <w:p w:rsidR="002F4A0F" w:rsidRPr="001D6599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8" w:type="dxa"/>
          </w:tcPr>
          <w:p w:rsidR="002F4A0F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Rosa</w:t>
            </w:r>
          </w:p>
          <w:p w:rsidR="002F4A0F" w:rsidRPr="001D6599" w:rsidRDefault="002F4A0F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Colina de Laranjeiras</w:t>
            </w:r>
          </w:p>
        </w:tc>
      </w:tr>
      <w:tr w:rsidR="002F4A0F" w:rsidTr="001E7068">
        <w:trPr>
          <w:trHeight w:val="831"/>
        </w:trPr>
        <w:tc>
          <w:tcPr>
            <w:tcW w:w="2235" w:type="dxa"/>
          </w:tcPr>
          <w:p w:rsidR="002F4A0F" w:rsidRPr="001D6599" w:rsidRDefault="002F4A0F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Desobstrução de Redes Pluviais e Limpezas de Caixas-ralo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PV´s</w:t>
            </w:r>
            <w:proofErr w:type="spellEnd"/>
          </w:p>
        </w:tc>
        <w:tc>
          <w:tcPr>
            <w:tcW w:w="1842" w:type="dxa"/>
          </w:tcPr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Novo Porto Canoa </w:t>
            </w:r>
          </w:p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Mestre Álvaro</w:t>
            </w:r>
          </w:p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Vista da Serra I e II</w:t>
            </w:r>
          </w:p>
        </w:tc>
        <w:tc>
          <w:tcPr>
            <w:tcW w:w="2552" w:type="dxa"/>
          </w:tcPr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Novo Porto Canoa </w:t>
            </w:r>
          </w:p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Divinópolis</w:t>
            </w:r>
          </w:p>
          <w:p w:rsidR="002F4A0F" w:rsidRPr="002F4A0F" w:rsidRDefault="002F4A0F" w:rsidP="00E416BE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Jardim Atlântico</w:t>
            </w:r>
          </w:p>
        </w:tc>
        <w:tc>
          <w:tcPr>
            <w:tcW w:w="3260" w:type="dxa"/>
          </w:tcPr>
          <w:p w:rsidR="002F4A0F" w:rsidRPr="002F4A0F" w:rsidRDefault="002F4A0F" w:rsidP="002F4A0F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Novo Porto Canoa </w:t>
            </w:r>
          </w:p>
          <w:p w:rsidR="002F4A0F" w:rsidRPr="002F4A0F" w:rsidRDefault="002F4A0F" w:rsidP="002F4A0F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José de Anchieta</w:t>
            </w:r>
          </w:p>
          <w:p w:rsidR="002F4A0F" w:rsidRPr="002F4A0F" w:rsidRDefault="002F4A0F" w:rsidP="002F4A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São Marcos I, II e </w:t>
            </w:r>
            <w:proofErr w:type="gramStart"/>
            <w:r w:rsidRPr="002F4A0F">
              <w:rPr>
                <w:sz w:val="20"/>
                <w:szCs w:val="20"/>
              </w:rPr>
              <w:t>III</w:t>
            </w:r>
            <w:proofErr w:type="gramEnd"/>
          </w:p>
        </w:tc>
        <w:tc>
          <w:tcPr>
            <w:tcW w:w="2977" w:type="dxa"/>
          </w:tcPr>
          <w:p w:rsidR="002F4A0F" w:rsidRPr="002F4A0F" w:rsidRDefault="002F4A0F" w:rsidP="002F4A0F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Novo Porto Canoa </w:t>
            </w:r>
          </w:p>
          <w:p w:rsidR="002F4A0F" w:rsidRPr="002F4A0F" w:rsidRDefault="002F4A0F" w:rsidP="002F4A0F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José de Anchieta</w:t>
            </w:r>
          </w:p>
          <w:p w:rsidR="002F4A0F" w:rsidRPr="002F4A0F" w:rsidRDefault="002F4A0F" w:rsidP="002F4A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São Marcos I, II e </w:t>
            </w:r>
            <w:proofErr w:type="gramStart"/>
            <w:r w:rsidRPr="002F4A0F">
              <w:rPr>
                <w:sz w:val="20"/>
                <w:szCs w:val="20"/>
              </w:rPr>
              <w:t>III</w:t>
            </w:r>
            <w:proofErr w:type="gramEnd"/>
          </w:p>
        </w:tc>
        <w:tc>
          <w:tcPr>
            <w:tcW w:w="2748" w:type="dxa"/>
          </w:tcPr>
          <w:p w:rsidR="002F4A0F" w:rsidRPr="002F4A0F" w:rsidRDefault="002F4A0F" w:rsidP="002F4A0F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Novo Porto Canoa </w:t>
            </w:r>
          </w:p>
          <w:p w:rsidR="002F4A0F" w:rsidRPr="002F4A0F" w:rsidRDefault="002F4A0F" w:rsidP="002F4A0F">
            <w:pPr>
              <w:spacing w:after="0" w:line="240" w:lineRule="auto"/>
              <w:rPr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>José de Anchieta</w:t>
            </w:r>
          </w:p>
          <w:p w:rsidR="002F4A0F" w:rsidRPr="002F4A0F" w:rsidRDefault="002F4A0F" w:rsidP="002F4A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4A0F">
              <w:rPr>
                <w:sz w:val="20"/>
                <w:szCs w:val="20"/>
              </w:rPr>
              <w:t xml:space="preserve">São Marcos I, II e </w:t>
            </w:r>
            <w:proofErr w:type="gramStart"/>
            <w:r w:rsidRPr="002F4A0F">
              <w:rPr>
                <w:sz w:val="20"/>
                <w:szCs w:val="20"/>
              </w:rPr>
              <w:t>III</w:t>
            </w:r>
            <w:proofErr w:type="gramEnd"/>
          </w:p>
        </w:tc>
      </w:tr>
    </w:tbl>
    <w:p w:rsidR="00FF0B8A" w:rsidRPr="00FF0B8A" w:rsidRDefault="00FF0B8A" w:rsidP="00FF0B8A">
      <w:pPr>
        <w:spacing w:after="0"/>
        <w:rPr>
          <w:b/>
          <w:sz w:val="16"/>
          <w:szCs w:val="16"/>
        </w:rPr>
      </w:pPr>
      <w:r w:rsidRPr="00FF0B8A">
        <w:rPr>
          <w:b/>
          <w:sz w:val="16"/>
          <w:szCs w:val="16"/>
        </w:rPr>
        <w:t>OUTROS SERVIÇOS: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Serviços de Poda e Corte – prioridade de atendimento de processos da Defesa Civil e com licenciamento </w:t>
      </w:r>
      <w:proofErr w:type="gramStart"/>
      <w:r w:rsidRPr="00FF0B8A">
        <w:rPr>
          <w:sz w:val="16"/>
          <w:szCs w:val="16"/>
        </w:rPr>
        <w:t>ambiental .</w:t>
      </w:r>
      <w:proofErr w:type="gramEnd"/>
    </w:p>
    <w:p w:rsid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Esgotamento de Fossas </w:t>
      </w:r>
      <w:r w:rsidR="001E7068">
        <w:rPr>
          <w:sz w:val="16"/>
          <w:szCs w:val="16"/>
        </w:rPr>
        <w:t>–</w:t>
      </w:r>
      <w:r w:rsidR="002F4A0F">
        <w:rPr>
          <w:sz w:val="16"/>
          <w:szCs w:val="16"/>
        </w:rPr>
        <w:t xml:space="preserve"> </w:t>
      </w:r>
      <w:r w:rsidR="001E7068">
        <w:rPr>
          <w:sz w:val="16"/>
          <w:szCs w:val="16"/>
        </w:rPr>
        <w:t xml:space="preserve">Serra Dourada I e II, Costa Dourada, Alterosas, </w:t>
      </w:r>
      <w:proofErr w:type="spellStart"/>
      <w:r w:rsidR="001E7068">
        <w:rPr>
          <w:sz w:val="16"/>
          <w:szCs w:val="16"/>
        </w:rPr>
        <w:t>Ourimar</w:t>
      </w:r>
      <w:proofErr w:type="spellEnd"/>
      <w:r w:rsidR="001E7068">
        <w:rPr>
          <w:sz w:val="16"/>
          <w:szCs w:val="16"/>
        </w:rPr>
        <w:t xml:space="preserve">, Centro da Serra, Residencial </w:t>
      </w:r>
      <w:r w:rsidR="000940EB">
        <w:rPr>
          <w:sz w:val="16"/>
          <w:szCs w:val="16"/>
        </w:rPr>
        <w:t xml:space="preserve">Centro </w:t>
      </w:r>
      <w:r w:rsidR="001E7068">
        <w:rPr>
          <w:sz w:val="16"/>
          <w:szCs w:val="16"/>
        </w:rPr>
        <w:t xml:space="preserve">da Serra, Grande </w:t>
      </w:r>
      <w:proofErr w:type="spellStart"/>
      <w:r w:rsidR="001E7068">
        <w:rPr>
          <w:sz w:val="16"/>
          <w:szCs w:val="16"/>
        </w:rPr>
        <w:t>Jacaraípe</w:t>
      </w:r>
      <w:proofErr w:type="spellEnd"/>
      <w:r w:rsidR="001E7068">
        <w:rPr>
          <w:sz w:val="16"/>
          <w:szCs w:val="16"/>
        </w:rPr>
        <w:t xml:space="preserve">, Grande Nova Almeida, Balneário </w:t>
      </w:r>
      <w:proofErr w:type="spellStart"/>
      <w:r w:rsidR="001E7068">
        <w:rPr>
          <w:sz w:val="16"/>
          <w:szCs w:val="16"/>
        </w:rPr>
        <w:t>Carapebus</w:t>
      </w:r>
      <w:proofErr w:type="spellEnd"/>
      <w:r w:rsidR="001E7068">
        <w:rPr>
          <w:sz w:val="16"/>
          <w:szCs w:val="16"/>
        </w:rPr>
        <w:t xml:space="preserve">, Praia de </w:t>
      </w:r>
      <w:proofErr w:type="spellStart"/>
      <w:r w:rsidR="001E7068">
        <w:rPr>
          <w:sz w:val="16"/>
          <w:szCs w:val="16"/>
        </w:rPr>
        <w:t>Carapebus</w:t>
      </w:r>
      <w:proofErr w:type="spellEnd"/>
      <w:r w:rsidR="001E7068">
        <w:rPr>
          <w:sz w:val="16"/>
          <w:szCs w:val="16"/>
        </w:rPr>
        <w:t xml:space="preserve">, Lagoa de </w:t>
      </w:r>
      <w:proofErr w:type="spellStart"/>
      <w:r w:rsidR="001E7068">
        <w:rPr>
          <w:sz w:val="16"/>
          <w:szCs w:val="16"/>
        </w:rPr>
        <w:t>Carapebus</w:t>
      </w:r>
      <w:proofErr w:type="spellEnd"/>
      <w:r w:rsidR="001E7068">
        <w:rPr>
          <w:sz w:val="16"/>
          <w:szCs w:val="16"/>
        </w:rPr>
        <w:t>, Cidade Continental (Setor Europa), Cantinho do Céu, Boa Vista I e II, Parque das Laranjeiras, Parque Residencial de Tubarão e Cidade Pomar.</w:t>
      </w:r>
    </w:p>
    <w:p w:rsidR="00AC7275" w:rsidRDefault="00AC7275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Limpeza de Principais Avenidas – Avenida Lagoa de </w:t>
      </w:r>
      <w:proofErr w:type="spellStart"/>
      <w:r>
        <w:rPr>
          <w:sz w:val="16"/>
          <w:szCs w:val="16"/>
        </w:rPr>
        <w:t>Jacaraípe</w:t>
      </w:r>
      <w:proofErr w:type="spellEnd"/>
      <w:r>
        <w:rPr>
          <w:sz w:val="16"/>
          <w:szCs w:val="16"/>
        </w:rPr>
        <w:t xml:space="preserve">, Avenida Desembargador Miguel </w:t>
      </w:r>
      <w:proofErr w:type="spellStart"/>
      <w:r>
        <w:rPr>
          <w:sz w:val="16"/>
          <w:szCs w:val="16"/>
        </w:rPr>
        <w:t>Feu</w:t>
      </w:r>
      <w:proofErr w:type="spellEnd"/>
      <w:r>
        <w:rPr>
          <w:sz w:val="16"/>
          <w:szCs w:val="16"/>
        </w:rPr>
        <w:t xml:space="preserve"> Rosa e </w:t>
      </w:r>
      <w:proofErr w:type="spellStart"/>
      <w:r>
        <w:rPr>
          <w:sz w:val="16"/>
          <w:szCs w:val="16"/>
        </w:rPr>
        <w:t>Eldesr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Scherrer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Souza</w:t>
      </w:r>
      <w:proofErr w:type="gramEnd"/>
      <w:r>
        <w:rPr>
          <w:sz w:val="16"/>
          <w:szCs w:val="16"/>
        </w:rPr>
        <w:t xml:space="preserve"> </w:t>
      </w:r>
    </w:p>
    <w:p w:rsidR="002F4A0F" w:rsidRPr="00FF0B8A" w:rsidRDefault="002F4A0F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Limpeza de Valões – Novo Horizonte, </w:t>
      </w:r>
      <w:r w:rsidR="000940EB">
        <w:rPr>
          <w:sz w:val="16"/>
          <w:szCs w:val="16"/>
        </w:rPr>
        <w:t>Jardim</w:t>
      </w:r>
      <w:r>
        <w:rPr>
          <w:sz w:val="16"/>
          <w:szCs w:val="16"/>
        </w:rPr>
        <w:t xml:space="preserve"> Carapina e Vista da Serra </w:t>
      </w:r>
      <w:proofErr w:type="gramStart"/>
      <w:r>
        <w:rPr>
          <w:sz w:val="16"/>
          <w:szCs w:val="16"/>
        </w:rPr>
        <w:t>II</w:t>
      </w:r>
      <w:proofErr w:type="gramEnd"/>
    </w:p>
    <w:p w:rsidR="001E7068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>Manutenção de iluminação pública -</w:t>
      </w:r>
      <w:proofErr w:type="gramStart"/>
      <w:r w:rsidRPr="00FF0B8A">
        <w:rPr>
          <w:sz w:val="16"/>
          <w:szCs w:val="16"/>
        </w:rPr>
        <w:t xml:space="preserve">  </w:t>
      </w:r>
      <w:proofErr w:type="gramEnd"/>
      <w:r w:rsidRPr="00FF0B8A">
        <w:rPr>
          <w:sz w:val="16"/>
          <w:szCs w:val="16"/>
        </w:rPr>
        <w:t xml:space="preserve">solicitação via site </w:t>
      </w:r>
      <w:hyperlink r:id="rId9" w:history="1">
        <w:r w:rsidRPr="00FF0B8A">
          <w:rPr>
            <w:rStyle w:val="Hyperlink"/>
            <w:sz w:val="16"/>
            <w:szCs w:val="16"/>
          </w:rPr>
          <w:t>http://www.serra.es.gov.br/site/pagina/iluminacao-publica</w:t>
        </w:r>
      </w:hyperlink>
      <w:r w:rsidRPr="00FF0B8A">
        <w:rPr>
          <w:sz w:val="16"/>
          <w:szCs w:val="16"/>
        </w:rPr>
        <w:t xml:space="preserve"> </w:t>
      </w:r>
    </w:p>
    <w:p w:rsidR="00FF0B8A" w:rsidRPr="00FF0B8A" w:rsidRDefault="00FF0B8A" w:rsidP="00FF0B8A">
      <w:pPr>
        <w:spacing w:after="0"/>
      </w:pPr>
      <w:r w:rsidRPr="00FF0B8A">
        <w:rPr>
          <w:b/>
          <w:i/>
          <w:sz w:val="16"/>
          <w:szCs w:val="16"/>
        </w:rPr>
        <w:t>OBSERVAÇÃO:</w:t>
      </w:r>
      <w:proofErr w:type="gramStart"/>
      <w:r w:rsidRPr="00FF0B8A">
        <w:rPr>
          <w:b/>
          <w:i/>
          <w:sz w:val="16"/>
          <w:szCs w:val="16"/>
        </w:rPr>
        <w:t xml:space="preserve">  </w:t>
      </w:r>
      <w:proofErr w:type="gramEnd"/>
      <w:r w:rsidRPr="00FF0B8A">
        <w:rPr>
          <w:b/>
          <w:i/>
          <w:sz w:val="16"/>
          <w:szCs w:val="16"/>
        </w:rPr>
        <w:t>A programação poderá sofrer ajustes em face de dificuldades operacionais</w:t>
      </w:r>
      <w:r w:rsidR="000940EB">
        <w:rPr>
          <w:b/>
          <w:i/>
          <w:sz w:val="16"/>
          <w:szCs w:val="16"/>
        </w:rPr>
        <w:t xml:space="preserve"> comportamento do clima</w:t>
      </w:r>
      <w:r w:rsidRPr="00FF0B8A">
        <w:rPr>
          <w:b/>
          <w:i/>
          <w:sz w:val="16"/>
          <w:szCs w:val="16"/>
        </w:rPr>
        <w:t>, grau de previsibilidade  e de imprevistos dur</w:t>
      </w:r>
      <w:bookmarkStart w:id="0" w:name="_GoBack"/>
      <w:bookmarkEnd w:id="0"/>
      <w:r w:rsidRPr="00FF0B8A">
        <w:rPr>
          <w:b/>
          <w:i/>
          <w:sz w:val="16"/>
          <w:szCs w:val="16"/>
        </w:rPr>
        <w:t>ante a execução.</w:t>
      </w:r>
    </w:p>
    <w:sectPr w:rsidR="00FF0B8A" w:rsidRPr="00FF0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5D" w:rsidRDefault="00E2395D">
      <w:pPr>
        <w:spacing w:line="240" w:lineRule="auto"/>
      </w:pPr>
      <w:r>
        <w:separator/>
      </w:r>
    </w:p>
  </w:endnote>
  <w:endnote w:type="continuationSeparator" w:id="0">
    <w:p w:rsidR="00E2395D" w:rsidRDefault="00E23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5D" w:rsidRDefault="00E2395D">
      <w:pPr>
        <w:spacing w:after="0" w:line="240" w:lineRule="auto"/>
      </w:pPr>
      <w:r>
        <w:separator/>
      </w:r>
    </w:p>
  </w:footnote>
  <w:footnote w:type="continuationSeparator" w:id="0">
    <w:p w:rsidR="00E2395D" w:rsidRDefault="00E2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62E16"/>
    <w:rsid w:val="000739DE"/>
    <w:rsid w:val="000940EB"/>
    <w:rsid w:val="000C16B2"/>
    <w:rsid w:val="00134138"/>
    <w:rsid w:val="00165FC6"/>
    <w:rsid w:val="00176302"/>
    <w:rsid w:val="001D6599"/>
    <w:rsid w:val="001E7068"/>
    <w:rsid w:val="00284623"/>
    <w:rsid w:val="002B0B43"/>
    <w:rsid w:val="002F4A0F"/>
    <w:rsid w:val="00320C41"/>
    <w:rsid w:val="00336D84"/>
    <w:rsid w:val="003A4AFD"/>
    <w:rsid w:val="004A0CAC"/>
    <w:rsid w:val="004B323C"/>
    <w:rsid w:val="004E17ED"/>
    <w:rsid w:val="005661C4"/>
    <w:rsid w:val="00616C00"/>
    <w:rsid w:val="00694037"/>
    <w:rsid w:val="006E2BC2"/>
    <w:rsid w:val="007B5688"/>
    <w:rsid w:val="00834F0F"/>
    <w:rsid w:val="008D2531"/>
    <w:rsid w:val="00942420"/>
    <w:rsid w:val="009B563F"/>
    <w:rsid w:val="009E040A"/>
    <w:rsid w:val="00AC7275"/>
    <w:rsid w:val="00B0538A"/>
    <w:rsid w:val="00B32F53"/>
    <w:rsid w:val="00B5051F"/>
    <w:rsid w:val="00C57E60"/>
    <w:rsid w:val="00CD15DF"/>
    <w:rsid w:val="00D150E9"/>
    <w:rsid w:val="00D34309"/>
    <w:rsid w:val="00D67F12"/>
    <w:rsid w:val="00DE04C8"/>
    <w:rsid w:val="00E135EC"/>
    <w:rsid w:val="00E2395D"/>
    <w:rsid w:val="00E5508A"/>
    <w:rsid w:val="00EF6CDF"/>
    <w:rsid w:val="00FE5A51"/>
    <w:rsid w:val="00FF0B8A"/>
    <w:rsid w:val="00FF5880"/>
    <w:rsid w:val="39A415EB"/>
    <w:rsid w:val="39DF4BB9"/>
    <w:rsid w:val="3DB41766"/>
    <w:rsid w:val="4D5A0DD6"/>
    <w:rsid w:val="5BA459F4"/>
    <w:rsid w:val="5BB45E4B"/>
    <w:rsid w:val="617A507A"/>
    <w:rsid w:val="74875337"/>
    <w:rsid w:val="77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ra.es.gov.br/site/pagina/iluminacao-pub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5</cp:revision>
  <cp:lastPrinted>2021-02-12T20:31:00Z</cp:lastPrinted>
  <dcterms:created xsi:type="dcterms:W3CDTF">2021-02-12T20:25:00Z</dcterms:created>
  <dcterms:modified xsi:type="dcterms:W3CDTF">2021-02-12T20:46:00Z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